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Депозитарные операции с ценными бумагами (практикум)</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«Депозитарные операции с ценными бумагами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«Депозитарные операции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ценными бумагами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«Депозитарные операции с ценными бумагами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консультирования по оформлению операций по определению взаимных обязательств (клиринг)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«Депозитарные операции с ценными бумагами (практикум)»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и оценка рисков хозяйствующего субъекта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Основы информационных технологий и информационной безопасности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574.22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1.Сущность и виды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2.Понятие депозитарных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3.Технологии работы с  ценными бумагами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Депозитарная инфраструктура рынка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рынка ценных бумаг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рынка ценных бумаг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рефератов по проблемам:Классификация ценных бумаг. Акции,курсы акций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Услуги депозитария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659.2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1.Сущность и виды ценных бумаг</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2.Понятие депозитарных услуг</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Депозитарная операция - совокупность действий, осуществляемых депозитарием с учетными регистрами, а также с хранящимися в депозитарии сертификатами ценных бумаг и другими материалами депозитарного учета.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3.Технологии работы с  ценными бумагами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Ценная бумага — денежный документ, удостоверяющий право собственности на капитал или устанавливающий отношения займа между эмитентом и инвестором.</w:t>
            </w:r>
          </w:p>
          <w:p>
            <w:pPr>
              <w:jc w:val="both"/>
              <w:spacing w:after="0" w:line="240" w:lineRule="auto"/>
              <w:rPr>
                <w:sz w:val="24"/>
                <w:szCs w:val="24"/>
              </w:rPr>
            </w:pPr>
            <w:r>
              <w:rPr>
                <w:rFonts w:ascii="Times New Roman" w:hAnsi="Times New Roman" w:cs="Times New Roman"/>
                <w:color w:val="#000000"/>
                <w:sz w:val="24"/>
                <w:szCs w:val="24"/>
              </w:rPr>
              <w:t> Ценная бумага обладает определенным набором характеристик (признаков). В экономической литературе различают такие понятия, как:</w:t>
            </w:r>
          </w:p>
          <w:p>
            <w:pPr>
              <w:jc w:val="both"/>
              <w:spacing w:after="0" w:line="240" w:lineRule="auto"/>
              <w:rPr>
                <w:sz w:val="24"/>
                <w:szCs w:val="24"/>
              </w:rPr>
            </w:pPr>
            <w:r>
              <w:rPr>
                <w:rFonts w:ascii="Times New Roman" w:hAnsi="Times New Roman" w:cs="Times New Roman"/>
                <w:color w:val="#000000"/>
                <w:sz w:val="24"/>
                <w:szCs w:val="24"/>
              </w:rPr>
              <w:t> •	• классификация ценных бумаг — это деление ценных бумаг по определенным признакам, которые им присуши;</w:t>
            </w:r>
          </w:p>
          <w:p>
            <w:pPr>
              <w:jc w:val="both"/>
              <w:spacing w:after="0" w:line="240" w:lineRule="auto"/>
              <w:rPr>
                <w:sz w:val="24"/>
                <w:szCs w:val="24"/>
              </w:rPr>
            </w:pPr>
            <w:r>
              <w:rPr>
                <w:rFonts w:ascii="Times New Roman" w:hAnsi="Times New Roman" w:cs="Times New Roman"/>
                <w:color w:val="#000000"/>
                <w:sz w:val="24"/>
                <w:szCs w:val="24"/>
              </w:rPr>
              <w:t> •	• вид ценных бумаг — совокупность ценных бумаг, для которой все признаки, присущие ценным бумагам, общие, одинаковые.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Услуги депозитария</w:t>
            </w:r>
          </w:p>
        </w:tc>
      </w:tr>
      <w:tr>
        <w:trPr>
          <w:trHeight w:hRule="exact" w:val="1757.2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открытие и ведение счетов депо клиентов;</w:t>
            </w:r>
          </w:p>
          <w:p>
            <w:pPr>
              <w:jc w:val="both"/>
              <w:spacing w:after="0" w:line="240" w:lineRule="auto"/>
              <w:rPr>
                <w:sz w:val="24"/>
                <w:szCs w:val="24"/>
              </w:rPr>
            </w:pPr>
            <w:r>
              <w:rPr>
                <w:rFonts w:ascii="Times New Roman" w:hAnsi="Times New Roman" w:cs="Times New Roman"/>
                <w:color w:val="#000000"/>
                <w:sz w:val="24"/>
                <w:szCs w:val="24"/>
              </w:rPr>
              <w:t> •	хранение и учет всех видов ценных бумаг, включая акции, облигации, паи, векселя, международных финансовых инструментов (еврооблигации, АДР, ГДР);</w:t>
            </w:r>
          </w:p>
          <w:p>
            <w:pPr>
              <w:jc w:val="both"/>
              <w:spacing w:after="0" w:line="240" w:lineRule="auto"/>
              <w:rPr>
                <w:sz w:val="24"/>
                <w:szCs w:val="24"/>
              </w:rPr>
            </w:pPr>
            <w:r>
              <w:rPr>
                <w:rFonts w:ascii="Times New Roman" w:hAnsi="Times New Roman" w:cs="Times New Roman"/>
                <w:color w:val="#000000"/>
                <w:sz w:val="24"/>
                <w:szCs w:val="24"/>
              </w:rPr>
              <w:t> •	консультирование и проведение комплексных структурированных операций с ценными бумагами;</w:t>
            </w:r>
          </w:p>
          <w:p>
            <w:pPr>
              <w:jc w:val="both"/>
              <w:spacing w:after="0" w:line="240" w:lineRule="auto"/>
              <w:rPr>
                <w:sz w:val="24"/>
                <w:szCs w:val="24"/>
              </w:rPr>
            </w:pPr>
            <w:r>
              <w:rPr>
                <w:rFonts w:ascii="Times New Roman" w:hAnsi="Times New Roman" w:cs="Times New Roman"/>
                <w:color w:val="#000000"/>
                <w:sz w:val="24"/>
                <w:szCs w:val="24"/>
              </w:rPr>
              <w:t> •	перерегистрация прав собственности на ценные бумаги, в том числе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выполнении определенного условия;</w:t>
            </w:r>
          </w:p>
          <w:p>
            <w:pPr>
              <w:jc w:val="both"/>
              <w:spacing w:after="0" w:line="240" w:lineRule="auto"/>
              <w:rPr>
                <w:sz w:val="24"/>
                <w:szCs w:val="24"/>
              </w:rPr>
            </w:pPr>
            <w:r>
              <w:rPr>
                <w:rFonts w:ascii="Times New Roman" w:hAnsi="Times New Roman" w:cs="Times New Roman"/>
                <w:color w:val="#000000"/>
                <w:sz w:val="24"/>
                <w:szCs w:val="24"/>
              </w:rPr>
              <w:t> •	оформление и учет залоговых операций с ценными бумагами депонентов;</w:t>
            </w:r>
          </w:p>
          <w:p>
            <w:pPr>
              <w:jc w:val="both"/>
              <w:spacing w:after="0" w:line="240" w:lineRule="auto"/>
              <w:rPr>
                <w:sz w:val="24"/>
                <w:szCs w:val="24"/>
              </w:rPr>
            </w:pPr>
            <w:r>
              <w:rPr>
                <w:rFonts w:ascii="Times New Roman" w:hAnsi="Times New Roman" w:cs="Times New Roman"/>
                <w:color w:val="#000000"/>
                <w:sz w:val="24"/>
                <w:szCs w:val="24"/>
              </w:rPr>
              <w:t> •	предоставление информации об эмитенте;</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Депозитарная инфраструктура рынка ценных бумаг.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рынка ценных бумаг в России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Инфраструктура рынка ценных бумаг Российской Федерации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«Депозитарные операции с ценными бумагами (практикум)»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Фондовые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фондовые</w:t>
            </w:r>
            <w:r>
              <w:rPr/>
              <w:t xml:space="preserve"> </w:t>
            </w:r>
            <w:r>
              <w:rPr>
                <w:rFonts w:ascii="Times New Roman" w:hAnsi="Times New Roman" w:cs="Times New Roman"/>
                <w:color w:val="#000000"/>
                <w:sz w:val="24"/>
                <w:szCs w:val="24"/>
              </w:rPr>
              <w:t>операции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Скрипниченко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Мальцев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Фондовые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фондовые</w:t>
            </w:r>
            <w:r>
              <w:rPr/>
              <w:t xml:space="preserve"> </w:t>
            </w:r>
            <w:r>
              <w:rPr>
                <w:rFonts w:ascii="Times New Roman" w:hAnsi="Times New Roman" w:cs="Times New Roman"/>
                <w:color w:val="#000000"/>
                <w:sz w:val="24"/>
                <w:szCs w:val="24"/>
              </w:rPr>
              <w:t>операции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http://www.iprbookshop.ru/65356.html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https://urait.ru/bcode/433137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Операции</w:t>
            </w:r>
            <w:r>
              <w:rPr/>
              <w:t xml:space="preserve"> </w:t>
            </w:r>
            <w:r>
              <w:rPr>
                <w:rFonts w:ascii="Times New Roman" w:hAnsi="Times New Roman" w:cs="Times New Roman"/>
                <w:color w:val="#000000"/>
                <w:sz w:val="24"/>
                <w:szCs w:val="24"/>
              </w:rPr>
              <w:t>банков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ценными</w:t>
            </w:r>
            <w:r>
              <w:rPr/>
              <w:t xml:space="preserve"> </w:t>
            </w:r>
            <w:r>
              <w:rPr>
                <w:rFonts w:ascii="Times New Roman" w:hAnsi="Times New Roman" w:cs="Times New Roman"/>
                <w:color w:val="#000000"/>
                <w:sz w:val="24"/>
                <w:szCs w:val="24"/>
              </w:rPr>
              <w:t>бумагами.</w:t>
            </w:r>
            <w:r>
              <w:rPr/>
              <w:t xml:space="preserve"> </w:t>
            </w:r>
            <w:r>
              <w:rPr>
                <w:rFonts w:ascii="Times New Roman" w:hAnsi="Times New Roman" w:cs="Times New Roman"/>
                <w:color w:val="#000000"/>
                <w:sz w:val="24"/>
                <w:szCs w:val="24"/>
              </w:rPr>
              <w:t>Валютные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сопутствующие</w:t>
            </w:r>
            <w:r>
              <w:rPr/>
              <w:t xml:space="preserve"> </w:t>
            </w:r>
            <w:r>
              <w:rPr>
                <w:rFonts w:ascii="Times New Roman" w:hAnsi="Times New Roman" w:cs="Times New Roman"/>
                <w:color w:val="#000000"/>
                <w:sz w:val="24"/>
                <w:szCs w:val="24"/>
              </w:rPr>
              <w:t>операции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Фальковская</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Пыхтин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978-5-534-11416-4.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https://urait.ru/bcode/445262</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Банковские</w:t>
            </w:r>
            <w:r>
              <w:rPr/>
              <w:t xml:space="preserve"> </w:t>
            </w:r>
            <w:r>
              <w:rPr>
                <w:rFonts w:ascii="Times New Roman" w:hAnsi="Times New Roman" w:cs="Times New Roman"/>
                <w:color w:val="#000000"/>
                <w:sz w:val="24"/>
                <w:szCs w:val="24"/>
              </w:rPr>
              <w:t>ипотечные</w:t>
            </w:r>
            <w:r>
              <w:rPr/>
              <w:t xml:space="preserve"> </w:t>
            </w:r>
            <w:r>
              <w:rPr>
                <w:rFonts w:ascii="Times New Roman" w:hAnsi="Times New Roman" w:cs="Times New Roman"/>
                <w:color w:val="#000000"/>
                <w:sz w:val="24"/>
                <w:szCs w:val="24"/>
              </w:rPr>
              <w:t>ценные</w:t>
            </w:r>
            <w:r>
              <w:rPr/>
              <w:t xml:space="preserve"> </w:t>
            </w:r>
            <w:r>
              <w:rPr>
                <w:rFonts w:ascii="Times New Roman" w:hAnsi="Times New Roman" w:cs="Times New Roman"/>
                <w:color w:val="#000000"/>
                <w:sz w:val="24"/>
                <w:szCs w:val="24"/>
              </w:rPr>
              <w:t>бумаги</w:t>
            </w:r>
            <w:r>
              <w:rPr/>
              <w:t xml:space="preserve"> </w:t>
            </w:r>
            <w:r>
              <w:rPr>
                <w:rFonts w:ascii="Times New Roman" w:hAnsi="Times New Roman" w:cs="Times New Roman"/>
                <w:color w:val="#000000"/>
                <w:sz w:val="24"/>
                <w:szCs w:val="24"/>
              </w:rPr>
              <w:t>(Сovered</w:t>
            </w:r>
            <w:r>
              <w:rPr/>
              <w:t xml:space="preserve"> </w:t>
            </w:r>
            <w:r>
              <w:rPr>
                <w:rFonts w:ascii="Times New Roman" w:hAnsi="Times New Roman" w:cs="Times New Roman"/>
                <w:color w:val="#000000"/>
                <w:sz w:val="24"/>
                <w:szCs w:val="24"/>
              </w:rPr>
              <w:t>Bonds)</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рубежом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w:t>
            </w:r>
            <w:r>
              <w:rPr/>
              <w:t xml:space="preserve"> </w:t>
            </w:r>
            <w:r>
              <w:rPr>
                <w:rFonts w:ascii="Times New Roman" w:hAnsi="Times New Roman" w:cs="Times New Roman"/>
                <w:color w:val="#000000"/>
                <w:sz w:val="24"/>
                <w:szCs w:val="24"/>
              </w:rPr>
              <w:t>Лассен.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Банковские</w:t>
            </w:r>
            <w:r>
              <w:rPr/>
              <w:t xml:space="preserve"> </w:t>
            </w:r>
            <w:r>
              <w:rPr>
                <w:rFonts w:ascii="Times New Roman" w:hAnsi="Times New Roman" w:cs="Times New Roman"/>
                <w:color w:val="#000000"/>
                <w:sz w:val="24"/>
                <w:szCs w:val="24"/>
              </w:rPr>
              <w:t>ипотечные</w:t>
            </w:r>
            <w:r>
              <w:rPr/>
              <w:t xml:space="preserve"> </w:t>
            </w:r>
            <w:r>
              <w:rPr>
                <w:rFonts w:ascii="Times New Roman" w:hAnsi="Times New Roman" w:cs="Times New Roman"/>
                <w:color w:val="#000000"/>
                <w:sz w:val="24"/>
                <w:szCs w:val="24"/>
              </w:rPr>
              <w:t>ценные</w:t>
            </w:r>
            <w:r>
              <w:rPr/>
              <w:t xml:space="preserve"> </w:t>
            </w:r>
            <w:r>
              <w:rPr>
                <w:rFonts w:ascii="Times New Roman" w:hAnsi="Times New Roman" w:cs="Times New Roman"/>
                <w:color w:val="#000000"/>
                <w:sz w:val="24"/>
                <w:szCs w:val="24"/>
              </w:rPr>
              <w:t>бумаги</w:t>
            </w:r>
            <w:r>
              <w:rPr/>
              <w:t xml:space="preserve"> </w:t>
            </w:r>
            <w:r>
              <w:rPr>
                <w:rFonts w:ascii="Times New Roman" w:hAnsi="Times New Roman" w:cs="Times New Roman"/>
                <w:color w:val="#000000"/>
                <w:sz w:val="24"/>
                <w:szCs w:val="24"/>
              </w:rPr>
              <w:t>(Сovered</w:t>
            </w:r>
            <w:r>
              <w:rPr/>
              <w:t xml:space="preserve"> </w:t>
            </w:r>
            <w:r>
              <w:rPr>
                <w:rFonts w:ascii="Times New Roman" w:hAnsi="Times New Roman" w:cs="Times New Roman"/>
                <w:color w:val="#000000"/>
                <w:sz w:val="24"/>
                <w:szCs w:val="24"/>
              </w:rPr>
              <w:t>Bonds)</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рубежом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978-5-8354-1569-4.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http://www.iprbookshop.ru/94596.html</w:t>
            </w:r>
            <w:r>
              <w:rPr/>
              <w:t xml:space="preserve"> </w:t>
            </w:r>
          </w:p>
        </w:tc>
      </w:tr>
      <w:tr>
        <w:trPr>
          <w:trHeight w:hRule="exact" w:val="1281.83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Финансово-кредитные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финансовых</w:t>
            </w:r>
            <w:r>
              <w:rPr/>
              <w:t xml:space="preserve"> </w:t>
            </w:r>
            <w:r>
              <w:rPr>
                <w:rFonts w:ascii="Times New Roman" w:hAnsi="Times New Roman" w:cs="Times New Roman"/>
                <w:color w:val="#000000"/>
                <w:sz w:val="24"/>
                <w:szCs w:val="24"/>
              </w:rPr>
              <w:t>институтов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Реутова,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Финансово-кредитные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финансовых</w:t>
            </w:r>
            <w:r>
              <w:rPr/>
              <w:t xml:space="preserve"> </w:t>
            </w:r>
            <w:r>
              <w:rPr>
                <w:rFonts w:ascii="Times New Roman" w:hAnsi="Times New Roman" w:cs="Times New Roman"/>
                <w:color w:val="#000000"/>
                <w:sz w:val="24"/>
                <w:szCs w:val="24"/>
              </w:rPr>
              <w:t>институтов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Омского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978-5-7779-2261-8.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http://www.iprbookshop.ru/108145.html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2024-2025_ФГОС3++2024_Бак-ОФО-Э(ФКиА)(24)_plx_Депозитарные операции с ценными бумагами (практикум)</dc:title>
  <dc:creator>FastReport.NET</dc:creator>
</cp:coreProperties>
</file>